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C8" w:rsidRDefault="0049397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</w:t>
      </w:r>
    </w:p>
    <w:p w:rsidR="00DA41C8" w:rsidRDefault="0049397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Sampling </w:t>
      </w:r>
    </w:p>
    <w:p w:rsidR="00DA41C8" w:rsidRDefault="00493974">
      <w:pPr>
        <w:spacing w:line="480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The study involved drawing of ~5ml blood from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59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cat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sample</w:t>
      </w:r>
      <w:r>
        <w:rPr>
          <w:rFonts w:ascii="Times New Roman" w:hAnsi="Times New Roman" w:cs="Times New Roman"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Blood samples were kept in 95% ethanol at room temperature until taken to laboratory and stored at 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for immediate use, or -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8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longer storage. </w:t>
      </w:r>
    </w:p>
    <w:p w:rsidR="00DA41C8" w:rsidRDefault="0049397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mtDNA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 w:hint="eastAsia"/>
          <w:b/>
          <w:bCs/>
          <w:sz w:val="24"/>
          <w:szCs w:val="24"/>
          <w:lang w:eastAsia="zh-CN"/>
        </w:rPr>
        <w:t>genome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sequencing methods</w:t>
      </w:r>
    </w:p>
    <w:p w:rsidR="00DA41C8" w:rsidRDefault="0049397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Sequencing of mtDNA D-loop</w:t>
      </w:r>
    </w:p>
    <w:p w:rsidR="00DA41C8" w:rsidRDefault="00493974">
      <w:pPr>
        <w:spacing w:line="48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Theme="majorBidi" w:hAnsiTheme="majorBidi" w:cstheme="majorBidi"/>
          <w:sz w:val="24"/>
          <w:szCs w:val="24"/>
        </w:rPr>
        <w:t xml:space="preserve">Genomic DNA was extracted from whole blood by the standard phenol/chloroform method. The protocols of PCR amplification and sequencing of mtDNA D-loop were as follows: the </w:t>
      </w:r>
      <w:r>
        <w:rPr>
          <w:rFonts w:asciiTheme="majorBidi" w:hAnsiTheme="majorBidi" w:cstheme="majorBidi" w:hint="eastAsia"/>
          <w:sz w:val="24"/>
          <w:szCs w:val="24"/>
          <w:lang w:eastAsia="zh-CN"/>
        </w:rPr>
        <w:t>440</w:t>
      </w:r>
      <w:r>
        <w:rPr>
          <w:rFonts w:asciiTheme="majorBidi" w:hAnsiTheme="majorBidi" w:cstheme="majorBidi"/>
          <w:sz w:val="24"/>
          <w:szCs w:val="24"/>
        </w:rPr>
        <w:t xml:space="preserve"> base pairs (bp) were amplified using primers </w:t>
      </w:r>
      <w:r>
        <w:rPr>
          <w:rFonts w:ascii="Times New Roman" w:hAnsi="Times New Roman" w:cs="Times New Roman"/>
          <w:sz w:val="24"/>
          <w:szCs w:val="24"/>
        </w:rPr>
        <w:t>(forward 5’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-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TCAAGGAAGAAGCAACAGCC</w:t>
      </w:r>
      <w:r>
        <w:rPr>
          <w:rFonts w:ascii="Times New Roman" w:hAnsi="Times New Roman" w:cs="Times New Roman"/>
          <w:sz w:val="24"/>
          <w:szCs w:val="24"/>
        </w:rPr>
        <w:t xml:space="preserve"> -3’, reverse 5’-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GGTCATAGCTGAGTCATAGC</w:t>
      </w:r>
      <w:r>
        <w:rPr>
          <w:rFonts w:ascii="Times New Roman" w:hAnsi="Times New Roman" w:cs="Times New Roman"/>
          <w:sz w:val="24"/>
          <w:szCs w:val="24"/>
        </w:rPr>
        <w:t xml:space="preserve"> -3’). </w:t>
      </w:r>
      <w:r>
        <w:rPr>
          <w:rFonts w:asciiTheme="majorBidi" w:hAnsiTheme="majorBidi" w:cstheme="majorBidi"/>
          <w:sz w:val="24"/>
          <w:szCs w:val="24"/>
        </w:rPr>
        <w:t xml:space="preserve">The PCR amplification was conducted </w:t>
      </w:r>
      <w:r>
        <w:rPr>
          <w:rFonts w:ascii="Times New Roman" w:hAnsi="Times New Roman" w:cs="Times New Roman"/>
          <w:sz w:val="24"/>
          <w:szCs w:val="24"/>
        </w:rPr>
        <w:t xml:space="preserve">in a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ul final volume containing PCR buffer, 2.5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MgCl2,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2.0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mMdNTPs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0.6</w:t>
      </w:r>
      <w:r>
        <w:rPr>
          <w:rFonts w:ascii="Times New Roman" w:hAnsi="Times New Roman" w:cs="Times New Roman"/>
          <w:sz w:val="24"/>
          <w:szCs w:val="24"/>
        </w:rPr>
        <w:t xml:space="preserve"> um of each primer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0.2</w:t>
      </w:r>
      <w:r>
        <w:rPr>
          <w:rFonts w:ascii="Times New Roman" w:hAnsi="Times New Roman" w:cs="Times New Roman"/>
          <w:sz w:val="24"/>
          <w:szCs w:val="24"/>
        </w:rPr>
        <w:t xml:space="preserve"> of U </w:t>
      </w:r>
      <w:proofErr w:type="spellStart"/>
      <w:r>
        <w:rPr>
          <w:rFonts w:ascii="Times New Roman" w:hAnsi="Times New Roman" w:cs="Times New Roman"/>
          <w:sz w:val="24"/>
          <w:szCs w:val="24"/>
        </w:rPr>
        <w:t>rTaqGold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DNA polymerase (Applied </w:t>
      </w:r>
      <w:proofErr w:type="spellStart"/>
      <w:r>
        <w:rPr>
          <w:rFonts w:ascii="Times New Roman" w:hAnsi="Times New Roman" w:cs="Times New Roman"/>
          <w:sz w:val="24"/>
          <w:szCs w:val="24"/>
        </w:rPr>
        <w:t>Biosystems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thermocycling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profile consisted of a cycle at 9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>min, followed by 35 cycles of 9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1 min,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55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40 sec</w:t>
      </w:r>
      <w:r>
        <w:rPr>
          <w:rFonts w:ascii="Times New Roman" w:hAnsi="Times New Roman" w:cs="Times New Roman"/>
          <w:sz w:val="24"/>
          <w:szCs w:val="24"/>
        </w:rPr>
        <w:t>, 72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for 1 min and a final extension step at 72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min. The PCR pro</w:t>
      </w:r>
      <w:r>
        <w:rPr>
          <w:rFonts w:ascii="Times New Roman" w:hAnsi="Times New Roman" w:cs="Times New Roman"/>
          <w:sz w:val="24"/>
          <w:szCs w:val="24"/>
        </w:rPr>
        <w:t xml:space="preserve">ducts were purified using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ExoSAP</w:t>
      </w:r>
      <w:proofErr w:type="spellEnd"/>
      <w:r>
        <w:rPr>
          <w:rFonts w:ascii="Times New Roman" w:hAnsi="Times New Roman" w:cs="Times New Roman"/>
          <w:sz w:val="24"/>
          <w:szCs w:val="24"/>
        </w:rPr>
        <w:t>-IT PCR Cleanup kit (</w:t>
      </w:r>
      <w:proofErr w:type="spellStart"/>
      <w:r>
        <w:rPr>
          <w:rFonts w:ascii="Times New Roman" w:hAnsi="Times New Roman" w:cs="Times New Roman"/>
          <w:sz w:val="24"/>
          <w:szCs w:val="24"/>
        </w:rPr>
        <w:t>Affymetrix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sequencing was in both directions using the same sets of primers. Sequencing reactions were done with the Big Dye Terminator Cycle Sequencing Kit v1.1 (Applied </w:t>
      </w:r>
      <w:proofErr w:type="spellStart"/>
      <w:r>
        <w:rPr>
          <w:rFonts w:ascii="Times New Roman" w:hAnsi="Times New Roman" w:cs="Times New Roman"/>
          <w:sz w:val="24"/>
          <w:szCs w:val="24"/>
        </w:rPr>
        <w:t>Biosystems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proofErr w:type="spellStart"/>
      <w:r>
        <w:rPr>
          <w:rFonts w:asciiTheme="majorBidi" w:hAnsiTheme="majorBidi" w:cstheme="majorBidi"/>
          <w:sz w:val="24"/>
          <w:szCs w:val="24"/>
        </w:rPr>
        <w:t>electro</w:t>
      </w:r>
      <w:r>
        <w:rPr>
          <w:rFonts w:asciiTheme="majorBidi" w:hAnsiTheme="majorBidi" w:cstheme="majorBidi"/>
          <w:sz w:val="24"/>
          <w:szCs w:val="24"/>
        </w:rPr>
        <w:t>pherograms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for each of the sequences were visualized, edited and aligned by </w:t>
      </w:r>
      <w:proofErr w:type="spellStart"/>
      <w:r>
        <w:rPr>
          <w:rFonts w:asciiTheme="majorBidi" w:hAnsiTheme="majorBidi" w:cstheme="majorBidi"/>
          <w:sz w:val="24"/>
          <w:szCs w:val="24"/>
        </w:rPr>
        <w:t>SeqMan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 of DNASTAR </w:t>
      </w:r>
      <w:proofErr w:type="spellStart"/>
      <w:r>
        <w:rPr>
          <w:rFonts w:asciiTheme="majorBidi" w:hAnsiTheme="majorBidi" w:cstheme="majorBidi"/>
          <w:sz w:val="24"/>
          <w:szCs w:val="24"/>
        </w:rPr>
        <w:t>Lasergene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7.1.0 (</w:t>
      </w:r>
      <w:proofErr w:type="spellStart"/>
      <w:r>
        <w:rPr>
          <w:rFonts w:asciiTheme="majorBidi" w:hAnsiTheme="majorBidi" w:cstheme="majorBidi"/>
          <w:sz w:val="24"/>
          <w:szCs w:val="24"/>
        </w:rPr>
        <w:t>DNAStar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Inc., Madison, WI) with the reference sequence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NC_001700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</w:p>
    <w:p w:rsidR="00DA41C8" w:rsidRDefault="0049397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Sequencing of </w:t>
      </w:r>
      <w:r>
        <w:rPr>
          <w:rFonts w:ascii="Times New Roman" w:hAnsi="Times New Roman" w:cs="Times New Roman" w:hint="eastAsia"/>
          <w:i/>
          <w:sz w:val="24"/>
          <w:szCs w:val="24"/>
          <w:lang w:eastAsia="zh-CN"/>
        </w:rPr>
        <w:t>ND5&amp;ND6</w:t>
      </w:r>
    </w:p>
    <w:p w:rsidR="00DA41C8" w:rsidRDefault="004939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Amplification was carried out with the primer </w:t>
      </w:r>
      <w:r>
        <w:rPr>
          <w:rFonts w:ascii="Times New Roman" w:hAnsi="Times New Roman" w:cs="Times New Roman"/>
          <w:sz w:val="24"/>
          <w:szCs w:val="24"/>
        </w:rPr>
        <w:t>(forward 5’-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CGCCTTCATCATCAGCATAA</w:t>
      </w:r>
      <w:r>
        <w:rPr>
          <w:rFonts w:ascii="Times New Roman" w:hAnsi="Times New Roman" w:cs="Times New Roman"/>
          <w:sz w:val="24"/>
          <w:szCs w:val="24"/>
        </w:rPr>
        <w:t>-3’ and reverse 5’-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AGGTGTGGAGGATTGGAATG</w:t>
      </w:r>
      <w:r>
        <w:rPr>
          <w:rFonts w:ascii="Times New Roman" w:hAnsi="Times New Roman" w:cs="Times New Roman"/>
          <w:sz w:val="24"/>
          <w:szCs w:val="24"/>
        </w:rPr>
        <w:t xml:space="preserve">-3’) in a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25</w:t>
      </w:r>
      <w:r>
        <w:rPr>
          <w:rFonts w:ascii="Times New Roman" w:hAnsi="Times New Roman" w:cs="Times New Roman"/>
          <w:sz w:val="24"/>
          <w:szCs w:val="24"/>
        </w:rPr>
        <w:t>ul final volume containing PCR buffer, 2.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MgCl2,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2.0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mMdNTPs</w:t>
      </w:r>
      <w:proofErr w:type="spellEnd"/>
      <w:r>
        <w:rPr>
          <w:rFonts w:ascii="Times New Roman" w:hAnsi="Times New Roman" w:cs="Times New Roman"/>
          <w:sz w:val="24"/>
          <w:szCs w:val="24"/>
        </w:rPr>
        <w:t>, 0.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um of each primer and 0.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of U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</w:rPr>
        <w:t>TaqGold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DNA </w:t>
      </w:r>
      <w:proofErr w:type="gramStart"/>
      <w:r>
        <w:rPr>
          <w:rFonts w:ascii="Times New Roman" w:hAnsi="Times New Roman" w:cs="Times New Roman"/>
          <w:sz w:val="24"/>
          <w:szCs w:val="24"/>
        </w:rPr>
        <w:t>polymerase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(Applied </w:t>
      </w:r>
      <w:proofErr w:type="spellStart"/>
      <w:r>
        <w:rPr>
          <w:rFonts w:ascii="Times New Roman" w:hAnsi="Times New Roman" w:cs="Times New Roman"/>
          <w:sz w:val="24"/>
          <w:szCs w:val="24"/>
        </w:rPr>
        <w:t>Biosystems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thermocycling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prof</w:t>
      </w:r>
      <w:r>
        <w:rPr>
          <w:rFonts w:ascii="Times New Roman" w:hAnsi="Times New Roman" w:cs="Times New Roman"/>
          <w:sz w:val="24"/>
          <w:szCs w:val="24"/>
        </w:rPr>
        <w:t>ile consisted of a cycle followed by 35 cycles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9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30 sec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55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30 sec</w:t>
      </w:r>
      <w:r>
        <w:rPr>
          <w:rFonts w:ascii="Times New Roman" w:hAnsi="Times New Roman" w:cs="Times New Roman"/>
          <w:sz w:val="24"/>
          <w:szCs w:val="24"/>
        </w:rPr>
        <w:t>, 72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min and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30 sec</w:t>
      </w:r>
      <w:r>
        <w:rPr>
          <w:rFonts w:ascii="Times New Roman" w:hAnsi="Times New Roman" w:cs="Times New Roman"/>
          <w:sz w:val="24"/>
          <w:szCs w:val="24"/>
        </w:rPr>
        <w:t>, followed by 35 cycles of 9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30 sec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55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30 sec</w:t>
      </w:r>
      <w:r>
        <w:rPr>
          <w:rFonts w:ascii="Times New Roman" w:hAnsi="Times New Roman" w:cs="Times New Roman"/>
          <w:sz w:val="24"/>
          <w:szCs w:val="24"/>
        </w:rPr>
        <w:t>, and 72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C for 1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min. The PCR products were purified using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ExoSAP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-IT PCR </w:t>
      </w:r>
      <w:r>
        <w:rPr>
          <w:rFonts w:ascii="Times New Roman" w:hAnsi="Times New Roman" w:cs="Times New Roman"/>
          <w:sz w:val="24"/>
          <w:szCs w:val="24"/>
        </w:rPr>
        <w:t>Cleanup kit (</w:t>
      </w:r>
      <w:proofErr w:type="spellStart"/>
      <w:r>
        <w:rPr>
          <w:rFonts w:ascii="Times New Roman" w:hAnsi="Times New Roman" w:cs="Times New Roman"/>
          <w:sz w:val="24"/>
          <w:szCs w:val="24"/>
        </w:rPr>
        <w:t>Affymetrix</w:t>
      </w:r>
      <w:proofErr w:type="spellEnd"/>
      <w:r>
        <w:rPr>
          <w:rFonts w:ascii="Times New Roman" w:hAnsi="Times New Roman" w:cs="Times New Roman"/>
          <w:sz w:val="24"/>
          <w:szCs w:val="24"/>
        </w:rPr>
        <w:t>) and sequenced following the similar protocol employed for the mitochondrial D-loop region.</w:t>
      </w:r>
    </w:p>
    <w:p w:rsidR="00DA41C8" w:rsidRDefault="0049397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Whole genome resequencing</w:t>
      </w:r>
    </w:p>
    <w:p w:rsidR="00DA41C8" w:rsidRDefault="00493974">
      <w:pPr>
        <w:spacing w:line="480" w:lineRule="auto"/>
        <w:ind w:left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1–3 µg of DNA from each individual was sheared into fragments using 200–800 bp with the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Covaris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DNA was fr</w:t>
      </w:r>
      <w:r>
        <w:rPr>
          <w:rFonts w:ascii="Times New Roman" w:hAnsi="Times New Roman" w:cs="Times New Roman"/>
          <w:sz w:val="24"/>
          <w:szCs w:val="24"/>
        </w:rPr>
        <w:t xml:space="preserve">agmented into 300–400 bp fragments using a </w:t>
      </w:r>
      <w:proofErr w:type="spellStart"/>
      <w:r>
        <w:rPr>
          <w:rFonts w:ascii="Times New Roman" w:hAnsi="Times New Roman" w:cs="Times New Roman"/>
          <w:sz w:val="24"/>
          <w:szCs w:val="24"/>
        </w:rPr>
        <w:t>Bioruptor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NGS </w:t>
      </w:r>
      <w:proofErr w:type="spellStart"/>
      <w:r>
        <w:rPr>
          <w:rFonts w:ascii="Times New Roman" w:hAnsi="Times New Roman" w:cs="Times New Roman"/>
          <w:sz w:val="24"/>
          <w:szCs w:val="24"/>
        </w:rPr>
        <w:t>sonicator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Diagenode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Denville, NJ). The DNA fragments were then sequenced using the Illumina </w:t>
      </w:r>
      <w:proofErr w:type="spellStart"/>
      <w:r>
        <w:rPr>
          <w:rFonts w:ascii="Times New Roman" w:hAnsi="Times New Roman" w:cs="Times New Roman"/>
          <w:sz w:val="24"/>
          <w:szCs w:val="24"/>
        </w:rPr>
        <w:t>Hiseq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2500 platform. Sequencing data from this study have been submitted to the Genome Sequence Archive (</w:t>
      </w:r>
      <w:r>
        <w:rPr>
          <w:rFonts w:ascii="Times New Roman" w:hAnsi="Times New Roman" w:cs="Times New Roman"/>
          <w:sz w:val="24"/>
          <w:szCs w:val="24"/>
        </w:rPr>
        <w:t xml:space="preserve">GSA, http://gsa.big.ac.cn/) under project number </w:t>
      </w:r>
      <w:r>
        <w:rPr>
          <w:rFonts w:ascii="Times New Roman" w:hAnsi="Times New Roman" w:cs="Times New Roman"/>
          <w:sz w:val="24"/>
          <w:szCs w:val="24"/>
          <w:highlight w:val="yellow"/>
        </w:rPr>
        <w:t>XXXXXXXX</w:t>
      </w:r>
    </w:p>
    <w:p w:rsidR="00DA41C8" w:rsidRDefault="0049397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Sequence Data Preprocessing and Variant Calling</w:t>
      </w:r>
    </w:p>
    <w:p w:rsidR="00DA41C8" w:rsidRPr="00493974" w:rsidRDefault="00493974" w:rsidP="0049397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Raw sequence reads were mapped to the cat reference genome (</w:t>
      </w:r>
      <w:r>
        <w:rPr>
          <w:rStyle w:val="Emphasis"/>
          <w:rFonts w:asciiTheme="majorBidi" w:hAnsiTheme="majorBidi" w:cstheme="majorBidi"/>
          <w:i w:val="0"/>
          <w:iCs w:val="0"/>
          <w:sz w:val="24"/>
          <w:szCs w:val="24"/>
          <w:shd w:val="clear" w:color="auto" w:fill="FFFFFF"/>
        </w:rPr>
        <w:t>Felis_catus_9.0</w:t>
      </w:r>
      <w:r>
        <w:rPr>
          <w:rFonts w:ascii="Times New Roman" w:hAnsi="Times New Roman" w:cs="Times New Roman"/>
          <w:sz w:val="24"/>
          <w:szCs w:val="24"/>
        </w:rPr>
        <w:t>) using the BWA-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MEM version 0.7.10 (Li and </w:t>
      </w:r>
      <w:r>
        <w:rPr>
          <w:rFonts w:asciiTheme="majorBidi" w:hAnsiTheme="majorBidi" w:cstheme="majorBidi"/>
          <w:sz w:val="24"/>
          <w:szCs w:val="24"/>
        </w:rPr>
        <w:t>Durbin 2009)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Reads with identical start/end points were filtered using </w:t>
      </w:r>
      <w:proofErr w:type="spellStart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MarkDuplicates</w:t>
      </w:r>
      <w:proofErr w:type="spell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from Picard-Tools (</w:t>
      </w:r>
      <w:hyperlink r:id="rId8" w:history="1">
        <w:r>
          <w:rPr>
            <w:rFonts w:asciiTheme="majorBidi" w:hAnsiTheme="majorBidi" w:cstheme="majorBidi"/>
            <w:sz w:val="24"/>
            <w:szCs w:val="24"/>
            <w:highlight w:val="cyan"/>
            <w:shd w:val="clear" w:color="auto" w:fill="FFFFFF"/>
          </w:rPr>
          <w:t>https://broadinstitute.github.io/picard/</w:t>
        </w:r>
      </w:hyperlink>
      <w:r>
        <w:rPr>
          <w:rFonts w:asciiTheme="majorBidi" w:hAnsiTheme="majorBidi" w:cstheme="majorBidi"/>
          <w:sz w:val="24"/>
          <w:szCs w:val="24"/>
          <w:highlight w:val="cyan"/>
          <w:shd w:val="clear" w:color="auto" w:fill="FFFFFF"/>
        </w:rPr>
        <w:t>, V2.18.26</w:t>
      </w:r>
      <w:r>
        <w:rPr>
          <w:rFonts w:asciiTheme="majorBidi" w:hAnsiTheme="majorBidi" w:cstheme="majorBidi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Sequences were then locally realigned and base-recal</w:t>
      </w:r>
      <w:r>
        <w:rPr>
          <w:rFonts w:ascii="Times New Roman" w:hAnsi="Times New Roman" w:cs="Times New Roman"/>
          <w:sz w:val="24"/>
          <w:szCs w:val="24"/>
        </w:rPr>
        <w:t xml:space="preserve">ibrated using the Genome Analysis Tool Kit </w:t>
      </w:r>
      <w:r>
        <w:rPr>
          <w:rFonts w:asciiTheme="majorBidi" w:hAnsiTheme="majorBidi" w:cstheme="majorBidi"/>
          <w:sz w:val="24"/>
          <w:szCs w:val="24"/>
        </w:rPr>
        <w:t>(GATK) 4.0.12.0 (</w:t>
      </w:r>
      <w:hyperlink r:id="rId9" w:history="1">
        <w:r>
          <w:rPr>
            <w:rFonts w:asciiTheme="majorBidi" w:hAnsiTheme="majorBidi" w:cstheme="majorBidi"/>
            <w:sz w:val="24"/>
            <w:szCs w:val="24"/>
            <w:highlight w:val="cyan"/>
            <w:shd w:val="clear" w:color="auto" w:fill="FFFFFF"/>
          </w:rPr>
          <w:t>https://software.broadinstitute.org/gatk/</w:t>
        </w:r>
      </w:hyperlink>
      <w:r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McKenna et al. 2010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Theme="majorBidi" w:hAnsiTheme="majorBidi" w:cstheme="majorBidi"/>
          <w:sz w:val="24"/>
          <w:szCs w:val="24"/>
        </w:rPr>
        <w:t xml:space="preserve">SNPs were called and filtered by </w:t>
      </w:r>
      <w:proofErr w:type="spellStart"/>
      <w:r>
        <w:rPr>
          <w:rFonts w:asciiTheme="majorBidi" w:hAnsiTheme="majorBidi" w:cstheme="majorBidi"/>
          <w:sz w:val="24"/>
          <w:szCs w:val="24"/>
        </w:rPr>
        <w:t>UnifiedGenotyper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>
        <w:rPr>
          <w:rFonts w:asciiTheme="majorBidi" w:hAnsiTheme="majorBidi" w:cstheme="majorBidi"/>
          <w:sz w:val="24"/>
          <w:szCs w:val="24"/>
        </w:rPr>
        <w:t>VariantFiltration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arguments of GATK. </w:t>
      </w:r>
      <w:r>
        <w:rPr>
          <w:rFonts w:ascii="Times New Roman" w:hAnsi="Times New Roman" w:cs="Times New Roman"/>
          <w:sz w:val="24"/>
          <w:szCs w:val="24"/>
        </w:rPr>
        <w:t xml:space="preserve">. During base and variant recalibration, a list of known SNPs/indels was downloaded from the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Ensembl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database to serve as a training set. Finally,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 select high-quality SNPs, we filtered out low quality variants with a </w:t>
      </w:r>
      <w:r>
        <w:rPr>
          <w:rFonts w:asciiTheme="majorBidi" w:hAnsiTheme="majorBidi" w:cstheme="majorBidi"/>
          <w:sz w:val="24"/>
          <w:szCs w:val="24"/>
        </w:rPr>
        <w:t>mapping quality &lt;</w:t>
      </w:r>
      <w:r>
        <w:rPr>
          <w:rFonts w:asciiTheme="majorBidi" w:hAnsiTheme="majorBidi" w:cstheme="majorBidi"/>
          <w:sz w:val="24"/>
          <w:szCs w:val="24"/>
        </w:rPr>
        <w:t>25 and genotype quality &lt;40. Finally, loci with more than 2 alleles and within clusters (&gt;3 SNPs in a 10-bp window) were discarded from further analysis.</w:t>
      </w:r>
    </w:p>
    <w:p w:rsidR="00DA41C8" w:rsidRDefault="0049397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DA41C8" w:rsidRDefault="004939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H, Durbin R: Fast and accurate short read alignment with Burrows-Wheeler transform. Bio</w:t>
      </w:r>
      <w:r>
        <w:rPr>
          <w:rFonts w:ascii="Times New Roman" w:hAnsi="Times New Roman" w:cs="Times New Roman"/>
          <w:sz w:val="24"/>
          <w:szCs w:val="24"/>
        </w:rPr>
        <w:t>informatics 2009, 25(14):1754-1760.</w:t>
      </w:r>
    </w:p>
    <w:p w:rsidR="00DA41C8" w:rsidRDefault="004939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McKenna A, Hanna M, Banks E, </w:t>
      </w:r>
      <w:proofErr w:type="spellStart"/>
      <w:r>
        <w:rPr>
          <w:rFonts w:ascii="Times New Roman" w:hAnsi="Times New Roman" w:cs="Times New Roman"/>
          <w:sz w:val="24"/>
          <w:szCs w:val="24"/>
        </w:rPr>
        <w:t>Sivachenko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>
        <w:rPr>
          <w:rFonts w:ascii="Times New Roman" w:hAnsi="Times New Roman" w:cs="Times New Roman"/>
          <w:sz w:val="24"/>
          <w:szCs w:val="24"/>
        </w:rPr>
        <w:t>Cibulskis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K, </w:t>
      </w:r>
      <w:proofErr w:type="spellStart"/>
      <w:r>
        <w:rPr>
          <w:rFonts w:ascii="Times New Roman" w:hAnsi="Times New Roman" w:cs="Times New Roman"/>
          <w:sz w:val="24"/>
          <w:szCs w:val="24"/>
        </w:rPr>
        <w:t>Kernytsky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>
        <w:rPr>
          <w:rFonts w:ascii="Times New Roman" w:hAnsi="Times New Roman" w:cs="Times New Roman"/>
          <w:sz w:val="24"/>
          <w:szCs w:val="24"/>
        </w:rPr>
        <w:t>Garimella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K, </w:t>
      </w:r>
      <w:proofErr w:type="spellStart"/>
      <w:r>
        <w:rPr>
          <w:rFonts w:ascii="Times New Roman" w:hAnsi="Times New Roman" w:cs="Times New Roman"/>
          <w:sz w:val="24"/>
          <w:szCs w:val="24"/>
        </w:rPr>
        <w:t>Altshuler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D, Gabriel S, Daly M et al: The Genome Analysis Toolkit: A </w:t>
      </w:r>
      <w:proofErr w:type="spellStart"/>
      <w:r>
        <w:rPr>
          <w:rFonts w:ascii="Times New Roman" w:hAnsi="Times New Roman" w:cs="Times New Roman"/>
          <w:sz w:val="24"/>
          <w:szCs w:val="24"/>
        </w:rPr>
        <w:t>MapReduce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framework for analyzing next-generation DNA sequencing </w:t>
      </w:r>
      <w:r>
        <w:rPr>
          <w:rFonts w:ascii="Times New Roman" w:hAnsi="Times New Roman" w:cs="Times New Roman"/>
          <w:sz w:val="24"/>
          <w:szCs w:val="24"/>
        </w:rPr>
        <w:t>data. Genome Res 2010, 20(9):1297-1303.</w:t>
      </w:r>
    </w:p>
    <w:p w:rsidR="00DA41C8" w:rsidRDefault="00DA41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A41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56397"/>
    <w:multiLevelType w:val="multilevel"/>
    <w:tmpl w:val="43056397"/>
    <w:lvl w:ilvl="0">
      <w:start w:val="1"/>
      <w:numFmt w:val="lowerRoman"/>
      <w:lvlText w:val="(%1)"/>
      <w:lvlJc w:val="left"/>
      <w:pPr>
        <w:ind w:left="7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2BA"/>
    <w:rsid w:val="0004501C"/>
    <w:rsid w:val="0006604E"/>
    <w:rsid w:val="000710D4"/>
    <w:rsid w:val="000A1D21"/>
    <w:rsid w:val="000C2D01"/>
    <w:rsid w:val="000C3560"/>
    <w:rsid w:val="000D7E73"/>
    <w:rsid w:val="001275F8"/>
    <w:rsid w:val="00174FAE"/>
    <w:rsid w:val="001C4BD0"/>
    <w:rsid w:val="001D69C6"/>
    <w:rsid w:val="001E227B"/>
    <w:rsid w:val="00214FE6"/>
    <w:rsid w:val="00225016"/>
    <w:rsid w:val="00230A0A"/>
    <w:rsid w:val="002568EC"/>
    <w:rsid w:val="00266EA4"/>
    <w:rsid w:val="00291FF0"/>
    <w:rsid w:val="002A72BA"/>
    <w:rsid w:val="002B2F53"/>
    <w:rsid w:val="002D51DB"/>
    <w:rsid w:val="002F6F8B"/>
    <w:rsid w:val="00302156"/>
    <w:rsid w:val="003303E2"/>
    <w:rsid w:val="003B04EE"/>
    <w:rsid w:val="003B54EC"/>
    <w:rsid w:val="003C2BCB"/>
    <w:rsid w:val="003D27D2"/>
    <w:rsid w:val="0041095E"/>
    <w:rsid w:val="00424CBF"/>
    <w:rsid w:val="0048106F"/>
    <w:rsid w:val="00493974"/>
    <w:rsid w:val="004C6764"/>
    <w:rsid w:val="004F72E7"/>
    <w:rsid w:val="00520165"/>
    <w:rsid w:val="00522E7C"/>
    <w:rsid w:val="005556CB"/>
    <w:rsid w:val="00582F6C"/>
    <w:rsid w:val="00597113"/>
    <w:rsid w:val="005C7ACC"/>
    <w:rsid w:val="005E42BA"/>
    <w:rsid w:val="005F12E9"/>
    <w:rsid w:val="005F52DC"/>
    <w:rsid w:val="006108FC"/>
    <w:rsid w:val="0062711A"/>
    <w:rsid w:val="00637CCB"/>
    <w:rsid w:val="00647A3D"/>
    <w:rsid w:val="00656FB4"/>
    <w:rsid w:val="00666B4E"/>
    <w:rsid w:val="00686BF9"/>
    <w:rsid w:val="006A2FDC"/>
    <w:rsid w:val="006C5D7B"/>
    <w:rsid w:val="006F7725"/>
    <w:rsid w:val="007037C2"/>
    <w:rsid w:val="00737796"/>
    <w:rsid w:val="007815EC"/>
    <w:rsid w:val="007C40C6"/>
    <w:rsid w:val="008553F2"/>
    <w:rsid w:val="00892880"/>
    <w:rsid w:val="0089718F"/>
    <w:rsid w:val="008D783D"/>
    <w:rsid w:val="008E01DD"/>
    <w:rsid w:val="008F3497"/>
    <w:rsid w:val="0091291C"/>
    <w:rsid w:val="00961EF1"/>
    <w:rsid w:val="009817D7"/>
    <w:rsid w:val="0099270C"/>
    <w:rsid w:val="009E4039"/>
    <w:rsid w:val="00A11639"/>
    <w:rsid w:val="00A30EA6"/>
    <w:rsid w:val="00A81536"/>
    <w:rsid w:val="00A82212"/>
    <w:rsid w:val="00A8245B"/>
    <w:rsid w:val="00AA2407"/>
    <w:rsid w:val="00AA46F4"/>
    <w:rsid w:val="00AB350F"/>
    <w:rsid w:val="00AB6D8E"/>
    <w:rsid w:val="00AC7DB0"/>
    <w:rsid w:val="00AE3A17"/>
    <w:rsid w:val="00B04499"/>
    <w:rsid w:val="00B12066"/>
    <w:rsid w:val="00B245EB"/>
    <w:rsid w:val="00B25BF8"/>
    <w:rsid w:val="00B274AC"/>
    <w:rsid w:val="00B47D23"/>
    <w:rsid w:val="00B60EF6"/>
    <w:rsid w:val="00B751FD"/>
    <w:rsid w:val="00B93ED8"/>
    <w:rsid w:val="00BB42B5"/>
    <w:rsid w:val="00BF5FF8"/>
    <w:rsid w:val="00C36A32"/>
    <w:rsid w:val="00C478E1"/>
    <w:rsid w:val="00C813C8"/>
    <w:rsid w:val="00C90F43"/>
    <w:rsid w:val="00CE4FD1"/>
    <w:rsid w:val="00D20991"/>
    <w:rsid w:val="00D46D66"/>
    <w:rsid w:val="00D716C7"/>
    <w:rsid w:val="00D75DF8"/>
    <w:rsid w:val="00D95DEC"/>
    <w:rsid w:val="00DA41C8"/>
    <w:rsid w:val="00E27488"/>
    <w:rsid w:val="00E352D3"/>
    <w:rsid w:val="00E63865"/>
    <w:rsid w:val="00E83610"/>
    <w:rsid w:val="00E963AD"/>
    <w:rsid w:val="00EB5E2E"/>
    <w:rsid w:val="00EE5B7E"/>
    <w:rsid w:val="00F11943"/>
    <w:rsid w:val="00F872D1"/>
    <w:rsid w:val="00F90ADD"/>
    <w:rsid w:val="00F90DB0"/>
    <w:rsid w:val="00FA3950"/>
    <w:rsid w:val="00FB16ED"/>
    <w:rsid w:val="00FC14A7"/>
    <w:rsid w:val="00FE3791"/>
    <w:rsid w:val="41D41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annotation subjec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pPr>
      <w:spacing w:line="240" w:lineRule="auto"/>
    </w:pPr>
    <w:rPr>
      <w:b/>
      <w:bCs/>
      <w:sz w:val="20"/>
      <w:szCs w:val="20"/>
    </w:rPr>
  </w:style>
  <w:style w:type="table" w:styleId="TableGrid">
    <w:name w:val="Table Grid"/>
    <w:basedOn w:val="TableNormal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EndNoteBibliography">
    <w:name w:val="EndNote Bibliography"/>
    <w:basedOn w:val="Normal"/>
    <w:link w:val="EndNoteBibliographyChar"/>
    <w:qFormat/>
    <w:pPr>
      <w:spacing w:line="240" w:lineRule="auto"/>
    </w:pPr>
    <w:rPr>
      <w:rFonts w:ascii="Calibri" w:hAnsi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eastAsiaTheme="minorEastAsia" w:hAnsi="Calibri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eastAsiaTheme="minorEastAsia"/>
      <w:b/>
      <w:bCs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annotation subjec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pPr>
      <w:spacing w:line="240" w:lineRule="auto"/>
    </w:pPr>
    <w:rPr>
      <w:b/>
      <w:bCs/>
      <w:sz w:val="20"/>
      <w:szCs w:val="20"/>
    </w:rPr>
  </w:style>
  <w:style w:type="table" w:styleId="TableGrid">
    <w:name w:val="Table Grid"/>
    <w:basedOn w:val="TableNormal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EndNoteBibliography">
    <w:name w:val="EndNote Bibliography"/>
    <w:basedOn w:val="Normal"/>
    <w:link w:val="EndNoteBibliographyChar"/>
    <w:qFormat/>
    <w:pPr>
      <w:spacing w:line="240" w:lineRule="auto"/>
    </w:pPr>
    <w:rPr>
      <w:rFonts w:ascii="Calibri" w:hAnsi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eastAsiaTheme="minorEastAsia" w:hAnsi="Calibri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eastAsiaTheme="minorEastAsia"/>
      <w:b/>
      <w:bCs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oadinstitute.github.io/picard/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software.broadinstitute.org/gat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6382F8-BD1F-4570-964C-6EABDB77B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606</Words>
  <Characters>3456</Characters>
  <Application>Microsoft Office Word</Application>
  <DocSecurity>0</DocSecurity>
  <Lines>28</Lines>
  <Paragraphs>8</Paragraphs>
  <ScaleCrop>false</ScaleCrop>
  <Company>Hewlett-Packard</Company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CHARLES</cp:lastModifiedBy>
  <cp:revision>6</cp:revision>
  <dcterms:created xsi:type="dcterms:W3CDTF">2019-07-01T08:01:00Z</dcterms:created>
  <dcterms:modified xsi:type="dcterms:W3CDTF">2019-08-09T05:38:00Z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